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png" ContentType="image/pn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b/>
          <w:bCs/>
          <w:color w:val="000000"/>
          <w:lang w:eastAsia="pl-PL"/>
        </w:rPr>
      </w:pPr>
      <w:bookmarkStart w:id="0" w:name="_GoBack"/>
      <w:bookmarkEnd w:id="0"/>
      <w:r>
        <w:rPr>
          <w:rFonts w:eastAsia="Times New Roman" w:cs="Segoe UI Light" w:ascii="Segoe UI Light" w:hAnsi="Segoe UI Light"/>
          <w:b/>
          <w:bCs/>
          <w:color w:val="000000"/>
          <w:lang w:eastAsia="pl-PL"/>
        </w:rPr>
        <w:t>Pojęcia i definicje</w:t>
      </w:r>
    </w:p>
    <w:p>
      <w:pPr>
        <w:pStyle w:val="Normal"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Na potrzeby niniejszego postępowania stosuje się następujące pojęcia i definicje: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426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Strony Umowy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uogólnione pojęcie stosowane zamiennie do określenia Zamawiającego i Wykonawcy jednocześnie.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426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Cel Umowy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przyczyny oraz oczekiwane wyniki, dla osiągnięcia których Strony podjęły współpracę i zawarły Umowę.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426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Przedmiot Umowy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całokształt zagadnień realizowanych w ramach Umowy ukierunkowanych na osiągnięcie Celu Umowy.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426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Dysfunkcja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zbiorcze określenie dla nieprawidłowości rozumianych jako niezgodność z Dokumentacją lub też uciążliwość w pracy z Systemem.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426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Kategoria Dysfunkcji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kategoria, do której kwalifikowane jest Zgłoszenie Serwisowe dotyczące Dysfunkcji. Wyróżniamy następujące Kategorie wg kryteriów:</w:t>
      </w:r>
    </w:p>
    <w:p>
      <w:pPr>
        <w:pStyle w:val="ListParagraph"/>
        <w:numPr>
          <w:ilvl w:val="3"/>
          <w:numId w:val="1"/>
        </w:numPr>
        <w:spacing w:lineRule="auto" w:line="240" w:before="0" w:after="0"/>
        <w:contextualSpacing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Stan Krytyczny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dysfunkcja Systemu, która prowadzi do zatrzymania eksploatacji systemu, utraty danych lub naruszenia ich spójności, w wyniku którego niemożliwe jest prowadzenie bieżącej działalności przy użyciu Systemu. </w:t>
      </w:r>
    </w:p>
    <w:p>
      <w:pPr>
        <w:pStyle w:val="ListParagraph"/>
        <w:numPr>
          <w:ilvl w:val="3"/>
          <w:numId w:val="1"/>
        </w:numPr>
        <w:spacing w:lineRule="auto" w:line="240" w:before="0" w:after="0"/>
        <w:contextualSpacing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Awaria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oznacza dysfunkcję Systemu, uniemożliwiającą prawidłowe użytkowanie Systemu lub jego części, jednak nie prowadzi do zatrzymania eksploatacji Systemu. </w:t>
      </w:r>
    </w:p>
    <w:p>
      <w:pPr>
        <w:pStyle w:val="ListParagraph"/>
        <w:numPr>
          <w:ilvl w:val="3"/>
          <w:numId w:val="1"/>
        </w:numPr>
        <w:spacing w:lineRule="auto" w:line="240" w:before="0" w:after="0"/>
        <w:contextualSpacing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Błąd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powtarzalne działanie Systemu niezgodne z jego dokumentacją użytkową, uniemożliwiające wykonanie części jego funkcji. </w:t>
      </w:r>
    </w:p>
    <w:p>
      <w:pPr>
        <w:pStyle w:val="ListParagraph"/>
        <w:numPr>
          <w:ilvl w:val="3"/>
          <w:numId w:val="1"/>
        </w:numPr>
        <w:spacing w:lineRule="auto" w:line="240" w:before="0" w:after="0"/>
        <w:contextualSpacing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Usterka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zakłócenie działania oprogramowania, polegające na nienależytym działaniu jego części, nie ograniczające działania całego systemu; nie mające istotnego wpływu na zastosowanie oprogramowania i nie będące awarią lub błędem.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Prace Serwisowe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działania Wykonawcy mające na celu realizację Zgłoszenia Serwisowego.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Naprawa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modyfikacja Systemu usuwająca Dysfunkcję Systemu.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Obejście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tymczasowe rozwiązanie pozwalające na prawidłowe wykorzystanie oprogramowania bez usuwania wykrytego błędu przy zachowaniu integralności bazy danych.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Realizacja Zgłoszenia Serwisowego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zakończenie Prac Serwisowych, w wyniku których przywrócono Stan Funkcjonalności.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Analiza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dokumenty opracowane przez Wykonawcę, mające na celu doprecyzowanie sposobu realizacji wymagań Zamawiającego, zasad i metod realizacji Umowy oraz wskazanie i szczegółowe opisanie Produktów;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Backup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wykonanie kopii bezpieczeństwa danych pozwalających na odtworzenie i przywrócenie Bazy Danych i Systemu po wystąpieniu awarii w przypadku utraty lub uszkodzenia oryginalnych danych; jakość odtworzonych danych powinna być dostosowana do ustalonego uprzednio poziomu ryzyka, który poniesie Zamawiający (poziom ryzyka determinuje cykliczność wykonywania backup'ów).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Baza Danych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zbiór wszystkich danych zewidencjonowanych za pomocą Systemu.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Czas Roboczy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czas pracy liczony w Dni Robocze, w którym świadczona jest pomoc telefoniczna przy eksploatacji Systemu.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Dzień Roboczy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dzień kalendarzowy od poniedziałku do piątku z wyłączeniem świąt i dni ustawowo wolnych od pracy.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Dokumentacja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dokument papierowy lub elektroniczny opisujący System i zasady użytkowania Systemu. Wszelka dokumentacja sporządzona przez Wykonawcę dostarczona i modyfikowana w wyniku realizacji umowy.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Godziny robocze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czas pracy liczony w Dni Robocze w godzinach 7:30 – 15:30.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Konsultant serwisowy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osoba fizyczna posiadająca odpowiednie kwalifikacje uprawniające do realizowania Serwisu. 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Pomoc Telefoniczna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świadczenie konsultacji telefonicznej dotyczące szeroko pojętej eksploatacji Systemu. 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Procedura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schemat postępowania w jaki winien być realizowany określony fragment Przedmiotu Umowy. 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Publikacja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udostępnienie Systemu zawierającego zmienioną funkcjonalność. </w:t>
      </w:r>
    </w:p>
    <w:p>
      <w:pPr>
        <w:pStyle w:val="Normal"/>
        <w:numPr>
          <w:ilvl w:val="0"/>
          <w:numId w:val="12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Serwer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sprzęt komputerowy, na którym zainstalowana jest baza danych wykorzystywana przez System. </w:t>
      </w:r>
    </w:p>
    <w:p>
      <w:pPr>
        <w:pStyle w:val="Normal"/>
        <w:numPr>
          <w:ilvl w:val="0"/>
          <w:numId w:val="13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Serwis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usługa o charakterze technicznym, organizacyjnym, doradczym i szkoleniowym, przeznaczona do zapewnienia stabilnej pracy Systemu. </w:t>
      </w:r>
    </w:p>
    <w:p>
      <w:pPr>
        <w:pStyle w:val="Normal"/>
        <w:numPr>
          <w:ilvl w:val="0"/>
          <w:numId w:val="14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Stan Funkcjonalności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stan Systemu, w którym nie występują Dysfunkcje. </w:t>
      </w:r>
    </w:p>
    <w:p>
      <w:pPr>
        <w:pStyle w:val="Normal"/>
        <w:numPr>
          <w:ilvl w:val="0"/>
          <w:numId w:val="15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Upgrade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nowa  wersja Systemu związana ze stworzeniem nowej funkcjonalności. </w:t>
      </w:r>
    </w:p>
    <w:p>
      <w:pPr>
        <w:pStyle w:val="Normal"/>
        <w:numPr>
          <w:ilvl w:val="0"/>
          <w:numId w:val="16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Update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aktualizacja Systemu w wyniku zmian przepisów, związanych bezpośrednio i pośrednio z Systemem lub Zamawiającym, w zakresie tej samej wersji Systemu. </w:t>
      </w:r>
    </w:p>
    <w:p>
      <w:pPr>
        <w:pStyle w:val="Normal"/>
        <w:numPr>
          <w:ilvl w:val="0"/>
          <w:numId w:val="16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Wdrożenie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opisane Umową świadczenia Wykonawcy mające na celu wykonanie Systemu</w:t>
      </w:r>
    </w:p>
    <w:p>
      <w:pPr>
        <w:pStyle w:val="Normal"/>
        <w:numPr>
          <w:ilvl w:val="0"/>
          <w:numId w:val="17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Wersja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okresowa Publikacja Systemu uwzględniająca Naprawy i zmiany dokonane w okresie od poprzedniej Publikacji Systemu. Wydanie Wersji obejmuje również opis nowej Funkcjonalności Systemu. </w:t>
      </w:r>
    </w:p>
    <w:p>
      <w:pPr>
        <w:pStyle w:val="Normal"/>
        <w:numPr>
          <w:ilvl w:val="0"/>
          <w:numId w:val="18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Wydanie Systemu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okresowa Publikacja Systemu obejmująca nową funkcjonalność Systemu oraz nową Dokumentację. 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Zgłoszenie Serwisowe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Dysfunkcja, o której Wykonawca został powiadomiony drogą mailową.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Administrator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Użytkownik konfigurujący i zarządzający Systemem i Infrastrukturą. 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Architektura systemu teleinformatycznego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opis składników systemu teleinformatycznego, powiązań i relacji pomiędzy tymi składnikami.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Czas dostarczenia rozwiązania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Okres czasu od wysłania Zgłoszenia do usunięcia przyczyny problemu lub zastosowania Rozwiązania Zastępczego.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Dane typu on-line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dane dostępne w czasie rzeczywistym tzn. natychmiast po wprowadzaniu do określonego modułu systemu.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Dane typu off-line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dane pochodzące z migracji z innych modułów systemu lub zarchiwizowane, dostępne w czasie zdefiniowanym przez administratora systemu.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Dane referencyjne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dane opisujące cechę informacyjną obiektu pierwotnie wprowadzone do rejestru publicznego w wyniku określonego zdarzenia, z domniemania opatrzone atrybutem autentyczności 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Dostępność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właściwość określająca, że zasób systemu teleinformatycznego jest możliwy do wykorzystania na żądanie, w założonym czasie, przez podmiot uprawniony do pracy w systemie teleinformatycznym 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Integralność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właściwość polegająca na tym, że zasób systemu teleinformatycznego nie został zmodyfikowany w sposób nieuprawniony 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Kierownik Projektu Wykonawcy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(KPW) – Osoba ze strony Wykonawcy upoważniona do bezpośredniej koordynacji zadań objętych umową. Do zadań Kierownika Projektu Wykonawcy należy m.in. podpisywanie dokumentów w zakresie Protokołów Odbioru Zadań, Protokołów Odbioru Końcowego. 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Kierownik Projektu Zamawiającego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(KPZ) - Osoba ze strony Zamawiającego upoważniona do bezpośredniej koordynacji zadań objętych umową. Do zadań Kierownika Projektu Zamawiającego należy m.in. podpisywanie dokumentów w zakresie Protokołów Odbioru Zadań, Protokołów Odbioru Końcowego.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KPA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Kodeks Postepowania Administracyjnego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Moduł systemu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kompletny zestaw narzędzi informatycznych obejmujących wszystkie warstwy architektury systemu, który dostarcza aplikację przeznaczoną dla użytkownika końcowego do realizacji określonych dziedzin działalności Zamawiającego.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Okno Serwisowe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przerwa w działaniu systemu w godzinach pracy [tj. pomiędzy 7:30 a 15:30] w dni robocze Zamawiającego, mająca na celu umożliwienie prowadzenie prac serwisowych wymagających czasowego wyłączenia systemu [np. aktualizacja]. Poza tymi godzinami aktywny 365/24/7 system HelpDesk. Okno serwisowe dotyczy usług serwisowych z wyłączeniem zadań bezpieczeństwa sieci. 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Oprogramowanie aplikacyjne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System Dziedzinowy (SD), Elektroniczne Zarządzanie Dokumentacją (EZD), System usług elektronicznych dla mieszkańców (SUE) oraz oprogramowanie integrujące.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Oprogramowanie standardowe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Każde oprogramowanie, poza oprogramowaniem aplikacyjnym niezbędne do działania Systemu.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Pakiet Usług elektronicznych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lista dostarczonych formularzy elektronicznych wraz ze wzorami dokumentów elektronicznych dla Zamawiającego</w:t>
      </w:r>
    </w:p>
    <w:p>
      <w:pPr>
        <w:pStyle w:val="ListParagraph"/>
        <w:numPr>
          <w:ilvl w:val="0"/>
          <w:numId w:val="19"/>
        </w:numPr>
        <w:spacing w:lineRule="auto" w:line="240" w:before="0" w:after="0"/>
        <w:ind w:left="360" w:right="0" w:hanging="360"/>
        <w:contextualSpacing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Portal Usług Elektronicznych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portal umiejscowiony w chmurze IAAS udostępniający usługi elektroniczne dostarczane przez System dla użytkowników wewnętrznych i zewnętrznych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PKI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/ </w:t>
      </w:r>
      <w:r>
        <w:rPr>
          <w:rFonts w:eastAsia="Times New Roman" w:cs="Segoe UI Light" w:ascii="Segoe UI Light" w:hAnsi="Segoe UI Light"/>
          <w:b/>
          <w:color w:val="000000"/>
          <w:lang w:eastAsia="pl-PL"/>
        </w:rPr>
        <w:t>CA</w:t>
      </w:r>
      <w:r>
        <w:rPr>
          <w:rFonts w:eastAsia="Times New Roman" w:cs="Segoe UI Light" w:ascii="Segoe UI Light" w:hAnsi="Segoe UI Light"/>
          <w:color w:val="000000"/>
          <w:lang w:eastAsia="pl-PL"/>
        </w:rPr>
        <w:t>– Infrastruktura Klucza Publicznego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PZ ePUAP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Profil Zaufany ePUAP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Rozwiązanie zastępcze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proponowane przez Wykonawcę rozwiązanie tymczasowe, usuwające lub niwelujące czasowo do akceptowalnego poziomu skutki wystąpienia Wady, wprowadzone do czasu usunięcia Wady.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System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Łączne określenie dla oprogramowania – występującego u Zamawiającego, objętego wdrożeniem oraz umową serwisową z Wykonawcą, bez względu na nazwę handlową. Obejmujący Platformę systemowo-sprzętową, Oprogramowania aplikacyjne oraz inne oprogramowanie niezbędne do działania SD, EZD i SUE realizowanego w niniejszym zamówieniu.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System zewnętrzny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Każdy System informatyczny niebędący przedmiotem Zamówienia a oddziaływujący na przedmiot zamówienia.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Usługi elektroniczne (eUsługi)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usługi, których świadczenie odbywa się za pomocą Internetu, jest zautomatyzowane (może wymagać niewielkiego udziału człowieka) i zdalne. Od usługi w ujęciu tradycyjnym, eUsługę odróżnia brak udziału człowieka po drugiej stronie oraz świadczenie na odległość. 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Użytkownik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Osoba, która jest pracownikiem Zamawiającego, posiada swój unikalny login i hasło i wykonuje za pomocą EZD lub SD lub SUE obowiązki służbowe.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Web Service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- Usługa sieciowa dostarczająca określoną funkcjonalność poprzez sieci Internet, niezależnie od platformy sprzętowej i implementacji. 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Wykonawca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wybrany w drodze zamówienia publicznego podmiot realizujący niniejszy przedmiot zamówienia.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Zdalny dostęp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możliwość realizacji usług wsparcia, wdrożenia i gwarancji związanych z systemem z dowolnego miejsca za pośrednictwem bezpiecznego połączenia internetowego.</w:t>
      </w:r>
    </w:p>
    <w:p>
      <w:pPr>
        <w:pStyle w:val="Normal"/>
        <w:numPr>
          <w:ilvl w:val="0"/>
          <w:numId w:val="1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color w:val="000000"/>
          <w:lang w:eastAsia="pl-PL"/>
        </w:rPr>
        <w:t>XML</w:t>
      </w: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 – Format XML jest to obecnie powszechnie uznany standard publiczny, umożliwiający wymianę danych między różnymi systemami.</w:t>
      </w:r>
    </w:p>
    <w:p>
      <w:pPr>
        <w:pStyle w:val="Normal"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lang w:eastAsia="pl-PL"/>
        </w:rPr>
      </w:pPr>
      <w:r>
        <w:rPr>
          <w:rFonts w:eastAsia="Times New Roman" w:cs="Segoe UI Light" w:ascii="Segoe UI Light" w:hAnsi="Segoe UI Light"/>
          <w:lang w:eastAsia="pl-PL"/>
        </w:rPr>
        <w:t> </w:t>
      </w:r>
    </w:p>
    <w:p>
      <w:pPr>
        <w:pStyle w:val="Normal"/>
        <w:rPr>
          <w:rFonts w:eastAsia="Times New Roman" w:cs="Segoe UI Light" w:ascii="Segoe UI Light" w:hAnsi="Segoe UI Light"/>
          <w:b/>
          <w:bCs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bCs/>
          <w:color w:val="000000"/>
          <w:lang w:eastAsia="pl-PL"/>
        </w:rPr>
      </w:r>
    </w:p>
    <w:p>
      <w:pPr>
        <w:pStyle w:val="Normal"/>
        <w:pageBreakBefore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b/>
          <w:bCs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bCs/>
          <w:color w:val="000000"/>
          <w:lang w:eastAsia="pl-PL"/>
        </w:rPr>
        <w:t>Zakres usługi serwisu i wsparcia</w:t>
      </w:r>
    </w:p>
    <w:tbl>
      <w:tblPr>
        <w:jc w:val="left"/>
        <w:tblInd w:w="9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105" w:type="dxa"/>
          <w:bottom w:w="0" w:type="dxa"/>
          <w:right w:w="115" w:type="dxa"/>
        </w:tblCellMar>
      </w:tblPr>
      <w:tblGrid>
        <w:gridCol w:w="503"/>
        <w:gridCol w:w="8568"/>
      </w:tblGrid>
      <w:tr>
        <w:trPr>
          <w:cantSplit w:val="false"/>
        </w:trPr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b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b/>
                <w:color w:val="000000"/>
                <w:lang w:eastAsia="pl-PL"/>
              </w:rPr>
              <w:t xml:space="preserve">Lp. </w:t>
            </w:r>
          </w:p>
        </w:tc>
        <w:tc>
          <w:tcPr>
            <w:tcW w:w="8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b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b/>
                <w:color w:val="000000"/>
                <w:lang w:eastAsia="pl-PL"/>
              </w:rPr>
              <w:t xml:space="preserve">Usługa </w:t>
            </w:r>
          </w:p>
        </w:tc>
      </w:tr>
      <w:tr>
        <w:trPr>
          <w:cantSplit w:val="false"/>
        </w:trPr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1. </w:t>
            </w:r>
          </w:p>
        </w:tc>
        <w:tc>
          <w:tcPr>
            <w:tcW w:w="8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50" w:right="0" w:hanging="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Udostępnianie oficjalnie wydawanych przez Wykonawcę Napraw, Wersji i Wydań Systemu w okresie trwania Umowy, w tym dotyczących zmian przepisów prawa. </w:t>
            </w:r>
          </w:p>
        </w:tc>
      </w:tr>
      <w:tr>
        <w:trPr>
          <w:cantSplit w:val="false"/>
        </w:trPr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2. </w:t>
            </w:r>
          </w:p>
        </w:tc>
        <w:tc>
          <w:tcPr>
            <w:tcW w:w="8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50" w:right="0" w:hanging="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Udostępnianie Dokumentacji związanej z Naprawą, Wersją i Wydaniem Systemu. </w:t>
            </w:r>
          </w:p>
        </w:tc>
      </w:tr>
      <w:tr>
        <w:trPr>
          <w:cantSplit w:val="false"/>
        </w:trPr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3. </w:t>
            </w:r>
          </w:p>
        </w:tc>
        <w:tc>
          <w:tcPr>
            <w:tcW w:w="8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50" w:right="0" w:hanging="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Świadczenie Pomocy Telefonicznej przy eksploatacji Systemu w Dni Robocze w Godzinach Roboczych. </w:t>
            </w:r>
          </w:p>
        </w:tc>
      </w:tr>
      <w:tr>
        <w:trPr>
          <w:cantSplit w:val="false"/>
        </w:trPr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4. </w:t>
            </w:r>
          </w:p>
        </w:tc>
        <w:tc>
          <w:tcPr>
            <w:tcW w:w="8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50" w:right="0" w:hanging="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Utrzymywanie i/lub przywracanie Stanu Funkcjonalności Systemu na zasadach określonych w Procedurze przyjęcia Zgłoszeń Serwisowych oraz Procedurze podejmowania Prac Serwisowych i na Warunkach zdalnego dostępu do zasobów Zamawiającego.</w:t>
            </w:r>
          </w:p>
        </w:tc>
      </w:tr>
      <w:tr>
        <w:trPr>
          <w:cantSplit w:val="false"/>
        </w:trPr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5.</w:t>
            </w:r>
          </w:p>
        </w:tc>
        <w:tc>
          <w:tcPr>
            <w:tcW w:w="8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Utworzenie i utrzymanie dokumentacji Systemu oraz opisu działania usług, w szczególności: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 </w:t>
            </w: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- procedury backupu i archiwizacji,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 </w:t>
            </w: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- procedury bezpieczeństwa w zakresie dostępu do sieci i usług,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 xml:space="preserve"> </w:t>
            </w: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- procedury działań awaryjnych na wypadek uszkodzenia Systemu.</w:t>
            </w:r>
          </w:p>
        </w:tc>
      </w:tr>
      <w:tr>
        <w:trPr>
          <w:cantSplit w:val="false"/>
        </w:trPr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6.</w:t>
            </w:r>
          </w:p>
        </w:tc>
        <w:tc>
          <w:tcPr>
            <w:tcW w:w="8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W zakresie zarządzania zmianami w Systemie, Wykonawca zobowiązuje się do: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a)</w:t>
              <w:tab/>
              <w:t>Rejestracji zgłoszeń zmian (od Zamawiającego oraz z innych źródeł, np. petentów).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b)</w:t>
              <w:tab/>
              <w:t>Oceny zgłoszonych propozycji zmian (kategoria, priorytet, wpływ na system, inne).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c)</w:t>
              <w:tab/>
              <w:t xml:space="preserve">Planowania w czasie zaprogramowania propozycji zmiany. 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d)</w:t>
              <w:tab/>
              <w:t>Wdrażania zmiany,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e)</w:t>
              <w:tab/>
              <w:t>Oceny wprowadzonej zmiany,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f)</w:t>
              <w:tab/>
              <w:t>Rejestracja informacji o zmianach oraz uaktualnianie dokumentacji Systemu.</w:t>
            </w:r>
          </w:p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ind w:left="0" w:right="0" w:firstLine="4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Wykonawca może odmówić wdrożenia zmian jeśli jej wpływ będzie istotnie zagrażał dostępności, poufności bądź integralności danych przechowywania w Systemie lub działania systemów i sieci tam działających. Każdorazowa odmowa musi być oparta na pisemnej analizie uzasadniającej w sposób jednoznaczny podjętą decyzję.</w:t>
            </w:r>
          </w:p>
          <w:p>
            <w:pPr>
              <w:pStyle w:val="Normal"/>
              <w:spacing w:lineRule="auto" w:line="240" w:before="0" w:after="0"/>
              <w:ind w:left="0" w:right="0" w:firstLine="4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Każdorazowo przed podjęciem decyzji o wdrożeniu zmiany w Systemie, Wykonawca przedstawi Zamawiającemu kosztorys wprowadzonej zmiany. Zamawiający ma możliwość odstąpienia od wdrożenia zmiany po zapoznaniu się z kosztorysem. Wykonawca nie będzie się ubiegał o zwrot kosztów przygotowania kalkulacji i planu wdrożenia zmiany.</w:t>
            </w:r>
          </w:p>
        </w:tc>
      </w:tr>
      <w:tr>
        <w:trPr>
          <w:cantSplit w:val="false"/>
        </w:trPr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360" w:right="0" w:hanging="360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7.</w:t>
            </w:r>
          </w:p>
        </w:tc>
        <w:tc>
          <w:tcPr>
            <w:tcW w:w="8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5" w:type="dxa"/>
            </w:tcMar>
          </w:tcPr>
          <w:p>
            <w:pPr>
              <w:pStyle w:val="Normal"/>
              <w:spacing w:lineRule="auto" w:line="240" w:before="0" w:after="0"/>
              <w:ind w:left="0" w:right="0" w:firstLine="4"/>
              <w:jc w:val="both"/>
              <w:rPr>
                <w:rFonts w:eastAsia="Times New Roman" w:cs="Segoe UI Light" w:ascii="Segoe UI Light" w:hAnsi="Segoe UI Light"/>
                <w:color w:val="000000"/>
                <w:lang w:eastAsia="pl-PL"/>
              </w:rPr>
            </w:pPr>
            <w:r>
              <w:rPr>
                <w:rFonts w:eastAsia="Times New Roman" w:cs="Segoe UI Light" w:ascii="Segoe UI Light" w:hAnsi="Segoe UI Light"/>
                <w:color w:val="000000"/>
                <w:lang w:eastAsia="pl-PL"/>
              </w:rPr>
              <w:t>Wsparcie Zamawiającego w planowaniu rozbudowy Systemu w zakresie oceny i rekomendacji zmian w odpowiedzi na zmieniające się potrzeby Zamawiającego w zakresie świadczonych usług.</w:t>
            </w:r>
          </w:p>
        </w:tc>
      </w:tr>
    </w:tbl>
    <w:p>
      <w:pPr>
        <w:pStyle w:val="Normal"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lang w:eastAsia="pl-PL"/>
        </w:rPr>
      </w:pPr>
      <w:r>
        <w:rPr>
          <w:rFonts w:eastAsia="Times New Roman" w:cs="Segoe UI Light" w:ascii="Segoe UI Light" w:hAnsi="Segoe UI Light"/>
          <w:lang w:eastAsia="pl-PL"/>
        </w:rPr>
        <w:t> </w:t>
      </w:r>
    </w:p>
    <w:p>
      <w:pPr>
        <w:pStyle w:val="Normal"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b/>
          <w:bCs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bCs/>
          <w:color w:val="000000"/>
          <w:lang w:eastAsia="pl-PL"/>
        </w:rPr>
        <w:t>Procedura przyjęcia Zgłoszenia Serwisowego</w:t>
      </w:r>
    </w:p>
    <w:p>
      <w:pPr>
        <w:pStyle w:val="Normal"/>
        <w:numPr>
          <w:ilvl w:val="0"/>
          <w:numId w:val="20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Wykonawca przyjmuje Zgłoszenie Serwisowe drogą mailową lub w dedykowanym portalu zgłoszeń.</w:t>
      </w:r>
    </w:p>
    <w:p>
      <w:pPr>
        <w:pStyle w:val="Normal"/>
        <w:numPr>
          <w:ilvl w:val="0"/>
          <w:numId w:val="20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Zgłoszenie Serwisowe realizowane drogą internetową uznaje się za dokonane z chwilą wpłynięcia na adres poczty elektronicznej podany w Zgłoszeniu Serwisowym do Zamawiającego potwierdzenia przyjęcia zgłoszenia serwisowego – potwierdzenie wysyłane jest automatycznie. </w:t>
      </w:r>
    </w:p>
    <w:p>
      <w:pPr>
        <w:pStyle w:val="Normal"/>
        <w:numPr>
          <w:ilvl w:val="0"/>
          <w:numId w:val="20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Zgłoszenie Serwisowe dokonane w czasie innym niż Godziny Robocze w Dniu Roboczym uznaje się za dokonane w pierwszej godzinie roboczej dnia roboczego, w którym dokonano Zgłoszenia Serwisowego lub najbliższego dnia roboczego następującego po dniu dokonania Zgłoszenia Serwisowego. </w:t>
      </w:r>
    </w:p>
    <w:p>
      <w:pPr>
        <w:pStyle w:val="Normal"/>
        <w:numPr>
          <w:ilvl w:val="0"/>
          <w:numId w:val="20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W Zgłoszeniu Serwisowym Zamawiający określa Kategorię Dysfunkcji, a jej zmiana przez Wykonującego wymaga pisemnego (e-mail lub w portalu zgłoszeń) uzasadnienia i możliwa jest jedynie w porozumieniu z pracownikiem Zamawiającego dokonującym zgłoszenia lub jego przełożonym.</w:t>
      </w:r>
    </w:p>
    <w:p>
      <w:pPr>
        <w:pStyle w:val="Normal"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lang w:eastAsia="pl-PL"/>
        </w:rPr>
      </w:pPr>
      <w:r>
        <w:rPr>
          <w:rFonts w:eastAsia="Times New Roman" w:cs="Segoe UI Light" w:ascii="Segoe UI Light" w:hAnsi="Segoe UI Light"/>
          <w:lang w:eastAsia="pl-PL"/>
        </w:rPr>
        <w:t> </w:t>
      </w:r>
    </w:p>
    <w:p>
      <w:pPr>
        <w:pStyle w:val="Normal"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b/>
          <w:bCs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bCs/>
          <w:color w:val="000000"/>
          <w:lang w:eastAsia="pl-PL"/>
        </w:rPr>
        <w:t>Procedura podejmowania Prac Serwisowych</w:t>
      </w:r>
    </w:p>
    <w:p>
      <w:pPr>
        <w:pStyle w:val="Normal"/>
        <w:numPr>
          <w:ilvl w:val="0"/>
          <w:numId w:val="21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Wykonawca podejmuje Prace Serwisowe na podstawie Zgłoszenia Serwisowego.</w:t>
      </w:r>
    </w:p>
    <w:p>
      <w:pPr>
        <w:pStyle w:val="Normal"/>
        <w:numPr>
          <w:ilvl w:val="0"/>
          <w:numId w:val="21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Wykonujący może zmienić Kategorię Dysfunkcji danego Zgłoszenia Serwisowego zgodnie z punktem czwartym Procedury przyjęcia Zgłoszenia Serwisowego.</w:t>
      </w:r>
    </w:p>
    <w:p>
      <w:pPr>
        <w:pStyle w:val="Normal"/>
        <w:numPr>
          <w:ilvl w:val="0"/>
          <w:numId w:val="21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Zamawiający dołoży wszelkich starań w celu umożliwienia Wykonawcy usunięcia Dysfunkcji, a w szczególności zapewni przedstawicielom Wykonawcy zdalny dostęp do Systemu Zamawiającego (zgodnie z warunkami zdalnego dostępu Wykonawcy do zasobów Zamawiającego).</w:t>
      </w:r>
    </w:p>
    <w:p>
      <w:pPr>
        <w:pStyle w:val="Normal"/>
        <w:numPr>
          <w:ilvl w:val="0"/>
          <w:numId w:val="21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Wykonawca nie ponosi odpowiedzialności za nieusunięcie Dysfunkcji Systemu, spowodowane niewypełnieniem przez Zamawiającego obowiązków wymienionych w pkt 3.</w:t>
      </w:r>
    </w:p>
    <w:p>
      <w:pPr>
        <w:pStyle w:val="Normal"/>
        <w:numPr>
          <w:ilvl w:val="0"/>
          <w:numId w:val="21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Ewentualna odmowa zapewnienia dostępu do Systemu winna zostać dokonana w formie pisemnej i niezwłocznie przedstawiona Wykonawcy wraz z uzasadnieniem.</w:t>
      </w:r>
    </w:p>
    <w:p>
      <w:pPr>
        <w:pStyle w:val="Normal"/>
        <w:numPr>
          <w:ilvl w:val="0"/>
          <w:numId w:val="21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Wykonawca, celem efektywnego wykonania zadań związanych z usuwaniem Dysfunkcji Systemu, w jak najkrótszym czasie dokona starań zmierzających do zminimalizowania ich skutków poprzez określenie działań naprawczych możliwych do podjęcia przez personel własny Wykonawcy lub personel własny Zamawiającego. </w:t>
      </w:r>
    </w:p>
    <w:p>
      <w:pPr>
        <w:pStyle w:val="Normal"/>
        <w:numPr>
          <w:ilvl w:val="0"/>
          <w:numId w:val="21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Wykonawca dołoży starań, aby Realizacja Zgłoszenia Serwisowego nastąpiła w możliwie krótkim czasie tak, aby uciążliwość spowodowana istnieniem Dysfunkcji jak najkrócej, nie dłużej jednak niż: </w:t>
      </w:r>
    </w:p>
    <w:p>
      <w:pPr>
        <w:pStyle w:val="Normal"/>
        <w:numPr>
          <w:ilvl w:val="1"/>
          <w:numId w:val="22"/>
        </w:numPr>
        <w:spacing w:lineRule="auto" w:line="240" w:before="0" w:after="0"/>
        <w:ind w:left="709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6 godzin dla stanu krytycznego,</w:t>
      </w:r>
    </w:p>
    <w:p>
      <w:pPr>
        <w:pStyle w:val="Normal"/>
        <w:numPr>
          <w:ilvl w:val="1"/>
          <w:numId w:val="22"/>
        </w:numPr>
        <w:spacing w:lineRule="auto" w:line="240" w:before="0" w:after="0"/>
        <w:ind w:left="709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2 dni robocze dla awarii,</w:t>
      </w:r>
    </w:p>
    <w:p>
      <w:pPr>
        <w:pStyle w:val="Normal"/>
        <w:numPr>
          <w:ilvl w:val="1"/>
          <w:numId w:val="22"/>
        </w:numPr>
        <w:spacing w:lineRule="auto" w:line="240" w:before="0" w:after="0"/>
        <w:ind w:left="709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14 dni roboczych dla błędu,</w:t>
      </w:r>
    </w:p>
    <w:p>
      <w:pPr>
        <w:pStyle w:val="Normal"/>
        <w:numPr>
          <w:ilvl w:val="1"/>
          <w:numId w:val="22"/>
        </w:numPr>
        <w:spacing w:lineRule="auto" w:line="240" w:before="0" w:after="0"/>
        <w:ind w:left="709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60 dni roboczych dla usterki</w:t>
      </w:r>
    </w:p>
    <w:p>
      <w:pPr>
        <w:pStyle w:val="Normal"/>
        <w:spacing w:lineRule="auto" w:line="240" w:before="0" w:after="0"/>
        <w:ind w:left="709" w:right="0" w:hanging="360"/>
        <w:jc w:val="both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od momentu dokonania Zgłoszenia Serwisowego.</w:t>
      </w:r>
    </w:p>
    <w:p>
      <w:pPr>
        <w:pStyle w:val="Normal"/>
        <w:numPr>
          <w:ilvl w:val="0"/>
          <w:numId w:val="23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Czas usunięcia zostaje automatycznie wydłużony o:</w:t>
      </w:r>
    </w:p>
    <w:p>
      <w:pPr>
        <w:pStyle w:val="Normal"/>
        <w:numPr>
          <w:ilvl w:val="1"/>
          <w:numId w:val="24"/>
        </w:numPr>
        <w:spacing w:lineRule="auto" w:line="240" w:before="0" w:after="0"/>
        <w:ind w:left="709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czas przetwarzania na komputerze, jeżeli czas ten przekracza 8 godzin np. w wyniku archiwizacji lub kopiowania baz danych,</w:t>
      </w:r>
    </w:p>
    <w:p>
      <w:pPr>
        <w:pStyle w:val="Normal"/>
        <w:numPr>
          <w:ilvl w:val="1"/>
          <w:numId w:val="24"/>
        </w:numPr>
        <w:spacing w:lineRule="auto" w:line="240" w:before="0" w:after="0"/>
        <w:ind w:left="709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czas oczekiwania na odpowiedź od Zamawiającego,</w:t>
      </w:r>
    </w:p>
    <w:p>
      <w:pPr>
        <w:pStyle w:val="Normal"/>
        <w:numPr>
          <w:ilvl w:val="0"/>
          <w:numId w:val="25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Przedłużenie o którym mowa w pkt 8a powinno być każdorazowo udokumentowane.</w:t>
      </w:r>
    </w:p>
    <w:p>
      <w:pPr>
        <w:pStyle w:val="Normal"/>
        <w:numPr>
          <w:ilvl w:val="0"/>
          <w:numId w:val="26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Terminy realizacji Zgłoszenia Serwisowego podane w pkt. 7 mają zastosowanie tylko do takich Dysfunkcji, których przyczyna leży w Systemie lub działaniach Wykonującego, a Zamawiający nie mógł ich uniknąć eksploatując System zgodnie z Dokumentacją.</w:t>
      </w:r>
    </w:p>
    <w:p>
      <w:pPr>
        <w:pStyle w:val="Normal"/>
        <w:numPr>
          <w:ilvl w:val="0"/>
          <w:numId w:val="27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W przypadku, jeżeli przyczyna Zgłoszenia Serwisowego nie jest związana bezpośrednio z Dysfunkcją, czas realizacji zgłoszenia może zostać wydłużony o czas realizacji innych czynności niezbędnych do przywrócenia Stanu Funkcjonalności.</w:t>
      </w:r>
    </w:p>
    <w:p>
      <w:pPr>
        <w:pStyle w:val="Normal"/>
        <w:numPr>
          <w:ilvl w:val="0"/>
          <w:numId w:val="28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W przypadku, gdy realizacja zgłoszenia wymaga przyjazdu do siedziby Zamawiającego, Strony ustalą datę i godziny wykonania usługi.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Zamawiający zostanie poinformowany pisemnie przez Wykonawcę o ustalonych przyczynach wystąpienia Dysfunkcji celem uniknięcia w przyszłości podobnych zdarzeń. </w:t>
      </w:r>
    </w:p>
    <w:p>
      <w:pPr>
        <w:pStyle w:val="Normal"/>
        <w:numPr>
          <w:ilvl w:val="0"/>
          <w:numId w:val="30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Wykonawca ma prawo rozwiązywania szczególnie złożonych problemów w drodze Update. </w:t>
      </w:r>
    </w:p>
    <w:p>
      <w:pPr>
        <w:pStyle w:val="Normal"/>
        <w:numPr>
          <w:ilvl w:val="0"/>
          <w:numId w:val="31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Wykonawca ma obowiązek natychmiast poinformować Zamawiającego o zakończeniu Prac Serwisowych.</w:t>
      </w:r>
    </w:p>
    <w:p>
      <w:pPr>
        <w:pStyle w:val="Normal"/>
        <w:numPr>
          <w:ilvl w:val="0"/>
          <w:numId w:val="32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Zamawiający dokona weryfikacji efektów Prac Serwisowych i potwierdzenia przywrócenia Stanu Funkcjonalności w ciągu 7 dni roboczych od otrzymania od Wykonującego informacji o zakończeniu Prac Serwisowych i w formie pisemnej (e-mail lub portal zgłoszeń) poinformuje Wykonującego o:</w:t>
      </w:r>
    </w:p>
    <w:p>
      <w:pPr>
        <w:pStyle w:val="ListParagraph"/>
        <w:numPr>
          <w:ilvl w:val="1"/>
          <w:numId w:val="36"/>
        </w:numPr>
        <w:spacing w:lineRule="auto" w:line="240" w:before="0" w:after="0"/>
        <w:ind w:left="709" w:right="0" w:hanging="360"/>
        <w:contextualSpacing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Potwierdzeniu Realizacji Zgłoszenia Serwisowego - w przypadku gdy stwierdzi, że Stan Funkcjonalności został przywrócony.</w:t>
      </w:r>
    </w:p>
    <w:p>
      <w:pPr>
        <w:pStyle w:val="ListParagraph"/>
        <w:numPr>
          <w:ilvl w:val="1"/>
          <w:numId w:val="36"/>
        </w:numPr>
        <w:spacing w:lineRule="auto" w:line="240" w:before="0" w:after="0"/>
        <w:ind w:left="709" w:right="0" w:hanging="360"/>
        <w:contextualSpacing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Częściowym potwierdzeniu Realizacji Zgłoszenia Serwisowego - w przypadku, gdy Wykonujący stworzy Obejście dla Dysfunkcji. W takim przypadku drogą e-mail określany jest termin Realizacji Zgłoszenia Serwisowego inny niż terminy wskazane w punkcie 7 Procedury podejmowania Prac Serwisowych, nieprzekraczający jednak dwukrotności tych terminów.</w:t>
      </w:r>
    </w:p>
    <w:p>
      <w:pPr>
        <w:pStyle w:val="ListParagraph"/>
        <w:numPr>
          <w:ilvl w:val="1"/>
          <w:numId w:val="36"/>
        </w:numPr>
        <w:spacing w:lineRule="auto" w:line="240" w:before="0" w:after="0"/>
        <w:ind w:left="709" w:right="0" w:hanging="360"/>
        <w:contextualSpacing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Odrzuceniu Realizacji Zgłoszenia Serwisowego - w przypadku gdy Zamawiający stwierdzi iż Dysfunkcja nadal występuje, lub gdy Realizacja Zgłoszenia Serwisowego doprowadzi do powstania innej Dysfunkcji.</w:t>
      </w:r>
    </w:p>
    <w:p>
      <w:pPr>
        <w:pStyle w:val="ListParagraph"/>
        <w:numPr>
          <w:ilvl w:val="1"/>
          <w:numId w:val="36"/>
        </w:numPr>
        <w:spacing w:lineRule="auto" w:line="240" w:before="0" w:after="0"/>
        <w:ind w:left="709" w:right="0" w:hanging="360"/>
        <w:contextualSpacing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W przypadku braku pisemnej odpowiedzi opisanej w punkcie 16 ppkt a. - c. uznaje się, że Zamawiający potwierdził Realizację Zgłoszenia Serwisowego.</w:t>
      </w:r>
    </w:p>
    <w:p>
      <w:pPr>
        <w:pStyle w:val="Normal"/>
        <w:numPr>
          <w:ilvl w:val="0"/>
          <w:numId w:val="33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>Potwierdzenie Realizacji Zgłoszenia Serwisowego (pkt 16 ppkt a) jest warunkiem koniecznym do stwierdzenia, że utrzymano i/lub przywrócono Stan Funkcjonalności (pkt 4 Zakresu usługi serwisu oprogramowania).</w:t>
      </w:r>
    </w:p>
    <w:p>
      <w:pPr>
        <w:pStyle w:val="Normal"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lang w:eastAsia="pl-PL"/>
        </w:rPr>
      </w:pPr>
      <w:r>
        <w:rPr>
          <w:rFonts w:eastAsia="Times New Roman" w:cs="Segoe UI Light" w:ascii="Segoe UI Light" w:hAnsi="Segoe UI Light"/>
          <w:lang w:eastAsia="pl-PL"/>
        </w:rPr>
      </w:r>
    </w:p>
    <w:p>
      <w:pPr>
        <w:pStyle w:val="Normal"/>
        <w:spacing w:lineRule="auto" w:line="240" w:before="0" w:after="0"/>
        <w:ind w:left="360" w:right="0" w:hanging="360"/>
        <w:jc w:val="both"/>
        <w:rPr>
          <w:rFonts w:eastAsia="Times New Roman" w:cs="Segoe UI Light" w:ascii="Segoe UI Light" w:hAnsi="Segoe UI Light"/>
          <w:b/>
          <w:bCs/>
          <w:color w:val="000000"/>
          <w:lang w:eastAsia="pl-PL"/>
        </w:rPr>
      </w:pPr>
      <w:r>
        <w:rPr>
          <w:rFonts w:eastAsia="Times New Roman" w:cs="Segoe UI Light" w:ascii="Segoe UI Light" w:hAnsi="Segoe UI Light"/>
          <w:b/>
          <w:bCs/>
          <w:color w:val="000000"/>
          <w:lang w:eastAsia="pl-PL"/>
        </w:rPr>
        <w:t>Warunki zdalnego dostępu Wykonawcy do zasobów Zamawiającego</w:t>
      </w:r>
    </w:p>
    <w:p>
      <w:pPr>
        <w:pStyle w:val="Normal"/>
        <w:numPr>
          <w:ilvl w:val="0"/>
          <w:numId w:val="34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Zamawiający udostępni Wykonawcy zdalny dostęp do zasobów przez cały okres trwania Umowy. </w:t>
      </w:r>
    </w:p>
    <w:p>
      <w:pPr>
        <w:pStyle w:val="Normal"/>
        <w:numPr>
          <w:ilvl w:val="0"/>
          <w:numId w:val="34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Do zdalnego dostępu upoważnieni są pracownicy Wykonawcy według umowy powierzenia danych osobowych. </w:t>
      </w:r>
    </w:p>
    <w:p>
      <w:pPr>
        <w:pStyle w:val="Normal"/>
        <w:numPr>
          <w:ilvl w:val="0"/>
          <w:numId w:val="34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Wykonawca nie będzie przekazywał danych logowania (loginy i hasła) innym osobom niż wymienione w załączonej liście. </w:t>
      </w:r>
    </w:p>
    <w:p>
      <w:pPr>
        <w:pStyle w:val="Normal"/>
        <w:numPr>
          <w:ilvl w:val="0"/>
          <w:numId w:val="34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Bezpośredni dostęp do Systemu Zamawiającego jest możliwy wyłącznie po poinformowaniu administratora Zamawiającego. </w:t>
      </w:r>
    </w:p>
    <w:p>
      <w:pPr>
        <w:pStyle w:val="Normal"/>
        <w:numPr>
          <w:ilvl w:val="0"/>
          <w:numId w:val="34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W przypadku zgłoszenia Dysfunkcji Zamawiający udostępni Wykonawcy wszelkie niezbędne dane do prawidłowej Realizacji Zgłoszenia Serwisowego. </w:t>
      </w:r>
    </w:p>
    <w:p>
      <w:pPr>
        <w:pStyle w:val="Normal"/>
        <w:numPr>
          <w:ilvl w:val="0"/>
          <w:numId w:val="34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Korzystając ze zdalnego dostępu Wykonawca: </w:t>
      </w:r>
    </w:p>
    <w:p>
      <w:pPr>
        <w:pStyle w:val="Normal"/>
        <w:numPr>
          <w:ilvl w:val="1"/>
          <w:numId w:val="35"/>
        </w:numPr>
        <w:spacing w:lineRule="auto" w:line="240" w:before="0" w:after="0"/>
        <w:ind w:left="709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będzie wykorzystywać go wyłącznie w celu realizacji Umowy, </w:t>
      </w:r>
    </w:p>
    <w:p>
      <w:pPr>
        <w:pStyle w:val="Normal"/>
        <w:numPr>
          <w:ilvl w:val="1"/>
          <w:numId w:val="35"/>
        </w:numPr>
        <w:spacing w:lineRule="auto" w:line="240" w:before="0" w:after="0"/>
        <w:ind w:left="709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będzie przetwarzał dane wyłącznie w celu i zakresie niezbędnym do należytego wykonania Umowy. </w:t>
      </w:r>
    </w:p>
    <w:p>
      <w:pPr>
        <w:pStyle w:val="Normal"/>
        <w:numPr>
          <w:ilvl w:val="0"/>
          <w:numId w:val="35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Wykonawca zapewni bezpieczny kanał komunikacji VPN i określi numery portów TCP wykorzystywanych w komunikacji. </w:t>
      </w:r>
    </w:p>
    <w:p>
      <w:pPr>
        <w:pStyle w:val="Normal"/>
        <w:numPr>
          <w:ilvl w:val="0"/>
          <w:numId w:val="35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Zdalne rozwiązywanie problemów zgłoszonych przez Zamawiającego prowadzone będzie z siedziby Wykonawcy w Dni robocze w Godzinach roboczych. </w:t>
      </w:r>
    </w:p>
    <w:p>
      <w:pPr>
        <w:pStyle w:val="Normal"/>
        <w:numPr>
          <w:ilvl w:val="0"/>
          <w:numId w:val="35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Jeżeli nie jest możliwe zdalne rozwiązywanie problemu zgłoszonego przez Zamawiającego lub nie można wskazać Obejścia, wówczas Wykonawca zobowiązuje się do rozwiązywania problemów bezpośrednio w miejscu zainstalowania Systemu. </w:t>
      </w:r>
    </w:p>
    <w:p>
      <w:pPr>
        <w:pStyle w:val="Normal"/>
        <w:numPr>
          <w:ilvl w:val="0"/>
          <w:numId w:val="35"/>
        </w:numPr>
        <w:spacing w:lineRule="auto" w:line="240" w:before="0" w:after="0"/>
        <w:ind w:left="360" w:right="0" w:hanging="360"/>
        <w:jc w:val="both"/>
        <w:textAlignment w:val="baseline"/>
        <w:rPr>
          <w:rFonts w:eastAsia="Times New Roman" w:cs="Segoe UI Light" w:ascii="Segoe UI Light" w:hAnsi="Segoe UI Light"/>
          <w:color w:val="000000"/>
          <w:lang w:eastAsia="pl-PL"/>
        </w:rPr>
      </w:pPr>
      <w:r>
        <w:rPr>
          <w:rFonts w:eastAsia="Times New Roman" w:cs="Segoe UI Light" w:ascii="Segoe UI Light" w:hAnsi="Segoe UI Light"/>
          <w:color w:val="000000"/>
          <w:lang w:eastAsia="pl-PL"/>
        </w:rPr>
        <w:t xml:space="preserve">Lista osób upoważnionych może zostać zmodyfikowana, o czym Wykonawca niezwłocznie zawiadomi Zamawiającego. Czas na nadanie uprawnień do dostępu do zasobów Zamawiającego nie ma wpływu na czas realizacji zgłoszenia serwisowego. </w:t>
      </w:r>
    </w:p>
    <w:p>
      <w:pPr>
        <w:pStyle w:val="Normal"/>
        <w:spacing w:before="0" w:after="160"/>
        <w:ind w:left="360" w:right="0" w:hanging="36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405" w:bottom="99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opka"/>
      <w:jc w:val="right"/>
      <w:rPr>
        <w:bCs/>
        <w:sz w:val="16"/>
      </w:rPr>
    </w:pPr>
    <w:r>
      <w:rPr>
        <w:color w:val="7F7F7F"/>
        <w:spacing w:val="60"/>
        <w:sz w:val="16"/>
      </w:rPr>
      <w:t>Strona</w:t>
    </w:r>
    <w:r>
      <w:rPr>
        <w:sz w:val="16"/>
      </w:rPr>
      <w:t xml:space="preserve"> | </w:t>
    </w:r>
    <w:r>
      <w:rPr>
        <w:sz w:val="16"/>
      </w:rPr>
      <w:fldChar w:fldCharType="begin"/>
    </w:r>
    <w:r>
      <w:instrText> PAGE </w:instrText>
    </w:r>
    <w:r>
      <w:fldChar w:fldCharType="separate"/>
    </w:r>
    <w:r>
      <w:t>6</w:t>
    </w:r>
    <w:r>
      <w:fldChar w:fldCharType="end"/>
    </w:r>
    <w:r>
      <w:rPr>
        <w:bCs/>
        <w:sz w:val="16"/>
      </w:rPr>
      <w:t xml:space="preserve"> z </w:t>
    </w:r>
    <w:r>
      <w:rPr>
        <w:bCs/>
        <w:sz w:val="16"/>
      </w:rPr>
      <w:fldChar w:fldCharType="begin"/>
    </w:r>
    <w:r>
      <w:instrText> NUMPAGES </w:instrText>
    </w:r>
    <w:r>
      <w:fldChar w:fldCharType="separate"/>
    </w:r>
    <w:r>
      <w:t>6</w:t>
    </w:r>
    <w: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Gwka"/>
      <w:jc w:val="right"/>
      <w:rPr>
        <w:i/>
      </w:rPr>
    </w:pPr>
    <w:r>
      <w:rPr>
        <w:i/>
      </w:rPr>
      <w:drawing>
        <wp:anchor behindDoc="1" distT="0" distB="0" distL="114300" distR="0" simplePos="0" locked="0" layoutInCell="1" allowOverlap="1" relativeHeight="5">
          <wp:simplePos x="0" y="0"/>
          <wp:positionH relativeFrom="margin">
            <wp:align>right</wp:align>
          </wp:positionH>
          <wp:positionV relativeFrom="paragraph">
            <wp:posOffset>-375285</wp:posOffset>
          </wp:positionV>
          <wp:extent cx="5760720" cy="654685"/>
          <wp:effectExtent l="0" t="0" r="0" b="0"/>
          <wp:wrapNone/>
          <wp:docPr id="0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4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>
    <w:pPr>
      <w:pStyle w:val="Gwka"/>
      <w:jc w:val="right"/>
      <w:rPr>
        <w:i/>
      </w:rPr>
    </w:pPr>
    <w:r>
      <w:rPr>
        <w:i/>
      </w:rPr>
    </w:r>
  </w:p>
  <w:p>
    <w:pPr>
      <w:pStyle w:val="Gwka"/>
      <w:jc w:val="right"/>
      <w:rPr>
        <w:i/>
      </w:rPr>
    </w:pPr>
    <w:r>
      <w:rPr>
        <w:i/>
      </w:rPr>
      <w:t xml:space="preserve">Załącznik Nr </w:t>
    </w:r>
    <w:r>
      <w:rPr>
        <w:i/>
      </w:rPr>
      <w:t>5</w:t>
    </w:r>
    <w:r>
      <w:rPr>
        <w:i/>
      </w:rPr>
      <w:t xml:space="preserve"> do Umowy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SimSun" w:cs="Calibr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agwekZnak" w:customStyle="1">
    <w:name w:val="Nagłówek Znak"/>
    <w:uiPriority w:val="99"/>
    <w:link w:val="Nagwek"/>
    <w:rsid w:val="009162e8"/>
    <w:basedOn w:val="DefaultParagraphFont"/>
    <w:rPr/>
  </w:style>
  <w:style w:type="character" w:styleId="StopkaZnak" w:customStyle="1">
    <w:name w:val="Stopka Znak"/>
    <w:uiPriority w:val="99"/>
    <w:link w:val="Stopka"/>
    <w:rsid w:val="009162e8"/>
    <w:basedOn w:val="DefaultParagraphFont"/>
    <w:rPr/>
  </w:style>
  <w:style w:type="character" w:styleId="Annotationreference">
    <w:name w:val="annotation reference"/>
    <w:uiPriority w:val="99"/>
    <w:semiHidden/>
    <w:unhideWhenUsed/>
    <w:rsid w:val="009944c7"/>
    <w:basedOn w:val="DefaultParagraphFont"/>
    <w:rPr>
      <w:sz w:val="16"/>
      <w:szCs w:val="16"/>
    </w:rPr>
  </w:style>
  <w:style w:type="character" w:styleId="TekstkomentarzaZnak" w:customStyle="1">
    <w:name w:val="Tekst komentarza Znak"/>
    <w:uiPriority w:val="99"/>
    <w:semiHidden/>
    <w:link w:val="Tekstkomentarza"/>
    <w:rsid w:val="009944c7"/>
    <w:basedOn w:val="DefaultParagraphFont"/>
    <w:rPr>
      <w:sz w:val="20"/>
      <w:szCs w:val="20"/>
    </w:rPr>
  </w:style>
  <w:style w:type="character" w:styleId="TematkomentarzaZnak" w:customStyle="1">
    <w:name w:val="Temat komentarza Znak"/>
    <w:uiPriority w:val="99"/>
    <w:semiHidden/>
    <w:link w:val="Tematkomentarza"/>
    <w:rsid w:val="009944c7"/>
    <w:basedOn w:val="TekstkomentarzaZnak"/>
    <w:rPr>
      <w:b/>
      <w:bCs/>
      <w:sz w:val="20"/>
      <w:szCs w:val="20"/>
    </w:rPr>
  </w:style>
  <w:style w:type="character" w:styleId="TekstdymkaZnak" w:customStyle="1">
    <w:name w:val="Tekst dymka Znak"/>
    <w:uiPriority w:val="99"/>
    <w:semiHidden/>
    <w:link w:val="Tekstdymka"/>
    <w:rsid w:val="009944c7"/>
    <w:basedOn w:val="DefaultParagraphFont"/>
    <w:rPr>
      <w:rFonts w:ascii="Segoe UI" w:hAnsi="Segoe UI" w:cs="Segoe UI"/>
      <w:sz w:val="18"/>
      <w:szCs w:val="18"/>
    </w:rPr>
  </w:style>
  <w:style w:type="character" w:styleId="ListLabel1">
    <w:name w:val="ListLabel 1"/>
    <w:rPr>
      <w:sz w:val="20"/>
    </w:rPr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NormalWeb">
    <w:name w:val="Normal (Web)"/>
    <w:uiPriority w:val="99"/>
    <w:semiHidden/>
    <w:unhideWhenUsed/>
    <w:rsid w:val="00fa2eb9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uiPriority w:val="34"/>
    <w:qFormat/>
    <w:rsid w:val="00275800"/>
    <w:basedOn w:val="Normal"/>
    <w:pPr>
      <w:spacing w:before="0" w:after="160"/>
      <w:ind w:left="720" w:right="0" w:hanging="0"/>
      <w:contextualSpacing/>
    </w:pPr>
    <w:rPr/>
  </w:style>
  <w:style w:type="paragraph" w:styleId="Gwka">
    <w:name w:val="Główka"/>
    <w:uiPriority w:val="99"/>
    <w:unhideWhenUsed/>
    <w:link w:val="NagwekZnak"/>
    <w:rsid w:val="009162e8"/>
    <w:basedOn w:val="Normal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uiPriority w:val="99"/>
    <w:unhideWhenUsed/>
    <w:link w:val="StopkaZnak"/>
    <w:rsid w:val="009162e8"/>
    <w:basedOn w:val="Normal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uiPriority w:val="99"/>
    <w:semiHidden/>
    <w:unhideWhenUsed/>
    <w:link w:val="TekstkomentarzaZnak"/>
    <w:rsid w:val="009944c7"/>
    <w:basedOn w:val="Normal"/>
    <w:pPr>
      <w:spacing w:lineRule="auto" w:line="240"/>
    </w:pPr>
    <w:rPr>
      <w:sz w:val="20"/>
      <w:szCs w:val="20"/>
    </w:rPr>
  </w:style>
  <w:style w:type="paragraph" w:styleId="Annotationsubject">
    <w:name w:val="annotation subject"/>
    <w:uiPriority w:val="99"/>
    <w:semiHidden/>
    <w:unhideWhenUsed/>
    <w:link w:val="TematkomentarzaZnak"/>
    <w:rsid w:val="009944c7"/>
    <w:basedOn w:val="Annotationtext"/>
    <w:pPr/>
    <w:rPr>
      <w:b/>
      <w:bCs/>
    </w:rPr>
  </w:style>
  <w:style w:type="paragraph" w:styleId="BalloonText">
    <w:name w:val="Balloon Text"/>
    <w:uiPriority w:val="99"/>
    <w:semiHidden/>
    <w:unhideWhenUsed/>
    <w:link w:val="TekstdymkaZnak"/>
    <w:rsid w:val="009944c7"/>
    <w:basedOn w:val="Normal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2018-10-10T08:54:00Z</dcterms:created>
  <dc:creator>Marta Mickiewicz</dc:creator>
  <dc:language>pl-PL</dc:language>
  <cp:lastModifiedBy>szpital psychiatryczny</cp:lastModifiedBy>
  <dcterms:modified xsi:type="dcterms:W3CDTF">2018-10-10T08:54:00Z</dcterms:modified>
  <cp:revision>2</cp:revision>
</cp:coreProperties>
</file>